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A3076">
      <w:pPr>
        <w:pStyle w:val="a3"/>
        <w:divId w:val="178415421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1</w:t>
      </w:r>
    </w:p>
    <w:p w:rsidR="00000000" w:rsidRDefault="00BA3076">
      <w:pPr>
        <w:pStyle w:val="a3"/>
        <w:divId w:val="178415421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 к </w:t>
      </w:r>
      <w:hyperlink r:id="rId4" w:tooltip="Ссылка на: ПОСТ. ПРАВИТЕЛЬСТВА РТ  ОБ УТВЕРЖДЕНИИ ПОЛОЖЕНИЯ ПРИГРАНИЧНЫХ МЕЖДУНАРОДНЫХ АВТОМОБИЛЬНЫХ ТЕРМИНАЛОВ И ТЕХНОЛОГИЧЕСКИХ КАР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постановлению Правительства </w:t>
        </w:r>
      </w:hyperlink>
    </w:p>
    <w:p w:rsidR="00000000" w:rsidRDefault="00BA3076">
      <w:pPr>
        <w:pStyle w:val="a3"/>
        <w:divId w:val="178415421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</w:t>
      </w:r>
    </w:p>
    <w:p w:rsidR="00000000" w:rsidRDefault="00BA3076">
      <w:pPr>
        <w:pStyle w:val="a3"/>
        <w:divId w:val="178415421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</w:t>
      </w:r>
      <w:r>
        <w:rPr>
          <w:rFonts w:ascii="Courier Tojik" w:hAnsi="Courier Tojik" w:cs="Tahoma"/>
          <w:color w:val="000000"/>
          <w:sz w:val="22"/>
          <w:szCs w:val="22"/>
        </w:rPr>
        <w:t>от 2 ноября 2007 года №540</w:t>
      </w:r>
    </w:p>
    <w:p w:rsidR="00000000" w:rsidRDefault="00BA3076">
      <w:pPr>
        <w:pStyle w:val="2"/>
        <w:divId w:val="1325208678"/>
        <w:rPr>
          <w:rFonts w:ascii="Courier Tojik" w:eastAsia="Times New Roman" w:hAnsi="Courier Tojik" w:cs="Tahoma"/>
          <w:sz w:val="29"/>
          <w:szCs w:val="29"/>
        </w:rPr>
      </w:pPr>
      <w:bookmarkStart w:id="0" w:name="A0N90C9XV7"/>
      <w:bookmarkStart w:id="1" w:name="_GoBack"/>
      <w:bookmarkEnd w:id="0"/>
      <w:r>
        <w:rPr>
          <w:rFonts w:ascii="Courier Tojik" w:eastAsia="Times New Roman" w:hAnsi="Courier Tojik" w:cs="Tahoma"/>
          <w:sz w:val="29"/>
          <w:szCs w:val="29"/>
        </w:rPr>
        <w:t>Положение приграничных международных автомобильных терминалов</w:t>
      </w:r>
    </w:p>
    <w:bookmarkEnd w:id="1"/>
    <w:p w:rsidR="00000000" w:rsidRDefault="00BA3076">
      <w:pPr>
        <w:jc w:val="center"/>
        <w:divId w:val="1307276225"/>
        <w:rPr>
          <w:rFonts w:ascii="Courier Tojik" w:hAnsi="Courier Tojik" w:cs="Tahoma"/>
          <w:color w:val="008000"/>
          <w:sz w:val="22"/>
          <w:szCs w:val="22"/>
        </w:rPr>
      </w:pPr>
      <w:r>
        <w:rPr>
          <w:rFonts w:ascii="Courier Tojik" w:hAnsi="Courier Tojik" w:cs="Tahoma"/>
          <w:color w:val="008000"/>
          <w:sz w:val="22"/>
          <w:szCs w:val="22"/>
        </w:rPr>
        <w:t>(в редакции Постановления Правительства РТ от 2.10.2010г.</w:t>
      </w:r>
      <w:hyperlink r:id="rId5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sz w:val="22"/>
            <w:szCs w:val="22"/>
          </w:rPr>
          <w:t>№527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)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2" w:name="A0N90CASEL"/>
      <w:bookmarkEnd w:id="2"/>
      <w:r>
        <w:rPr>
          <w:rFonts w:ascii="Courier Tojik" w:eastAsia="Times New Roman" w:hAnsi="Courier Tojik" w:cs="Tahoma"/>
          <w:sz w:val="24"/>
          <w:szCs w:val="24"/>
        </w:rPr>
        <w:t>I. Общие положения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1. Приграничные международные автомобильные терминалы создаются в соответствии с Постановлением Правительства Республики Таджикистан от 2 мая 2007 года </w:t>
      </w:r>
      <w:hyperlink r:id="rId6" w:tooltip="Ссылка на Пост. Правительства РТ О транзитном проезде международных автотранспортных средств по территории...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№212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"О транзитном проезде международных автотранспортных средств на территории Республики Таджикистан и создании приграничных международных автомобильных терминалов".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Приг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раничные международные автомобильные терминалы (далее "приграничные терминалы") это специализированные объекты, предназначенные для регулирования и обслуживания деятельности международных автотранспортных средств (далее "транспортные средства")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 Постановления Правительства РТ от 2.10.2010г.</w:t>
      </w:r>
      <w:hyperlink r:id="rId7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Целью создания, организации деятельности и использования приграничных терминал</w:t>
      </w:r>
      <w:r>
        <w:rPr>
          <w:rFonts w:ascii="Courier Tojik" w:hAnsi="Courier Tojik" w:cs="Tahoma"/>
          <w:color w:val="000000"/>
          <w:sz w:val="22"/>
          <w:szCs w:val="22"/>
        </w:rPr>
        <w:t>ов являются: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выполнение международных обязательств вытекающих из международно-правовых актов признанных Республикой Таджикистан;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регулирование движения иностранных автотранспортных средств по территории республики и предотвращение не нелепого их пребыв</w:t>
      </w:r>
      <w:r>
        <w:rPr>
          <w:rFonts w:ascii="Courier Tojik" w:hAnsi="Courier Tojik" w:cs="Tahoma"/>
          <w:color w:val="000000"/>
          <w:sz w:val="22"/>
          <w:szCs w:val="22"/>
        </w:rPr>
        <w:t>ания в городах, районах и в других населённых пунктах;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рациональное использование автомобильных дорог, тоннелей и мостов, а также защита средств связи, электрических сетей и связанных с ними коммуникаций;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необходимых видов услуг для междуна</w:t>
      </w:r>
      <w:r>
        <w:rPr>
          <w:rFonts w:ascii="Courier Tojik" w:hAnsi="Courier Tojik" w:cs="Tahoma"/>
          <w:color w:val="000000"/>
          <w:sz w:val="22"/>
          <w:szCs w:val="22"/>
        </w:rPr>
        <w:t>родных автоперевозчиков и их автотранспортных средств;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проведение необходимых формальностей импорта и экспорта грузов в/из территории Республики Таджикистан;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защита внутреннего рынка транспортных услуг;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3" w:name="A0N90CCWAD"/>
      <w:bookmarkEnd w:id="3"/>
      <w:r>
        <w:rPr>
          <w:rFonts w:ascii="Courier Tojik" w:eastAsia="Times New Roman" w:hAnsi="Courier Tojik" w:cs="Tahoma"/>
          <w:sz w:val="24"/>
          <w:szCs w:val="24"/>
        </w:rPr>
        <w:t>II. Создание приграничных терминалов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Пригранич</w:t>
      </w:r>
      <w:r>
        <w:rPr>
          <w:rFonts w:ascii="Courier Tojik" w:hAnsi="Courier Tojik" w:cs="Tahoma"/>
          <w:color w:val="000000"/>
          <w:sz w:val="22"/>
          <w:szCs w:val="22"/>
        </w:rPr>
        <w:t>ные терминалы создаются непосредственно в приграничных районах Республики Таджикистан.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Строительство и организация приграничных терминалов осуществляются согласно проектам соответствующих международным нормам и правилам строительства и архитектуры.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6. П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риграничные терминалы будут созданы за счет инвестиций международных финансовых организаций, банковских кредитов, грантов, и других источников финансирования, которые не запрещены законодательством Республики Таджикистан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</w:t>
      </w:r>
      <w:r>
        <w:rPr>
          <w:rStyle w:val="inline-comment"/>
          <w:rFonts w:ascii="Courier Tojik" w:hAnsi="Courier Tojik" w:cs="Tahoma"/>
          <w:sz w:val="22"/>
          <w:szCs w:val="22"/>
        </w:rPr>
        <w:t>ства РТ от 2.10.2010г.</w:t>
      </w:r>
      <w:hyperlink r:id="rId8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4" w:name="A0N90CERV3"/>
      <w:bookmarkEnd w:id="4"/>
      <w:r>
        <w:rPr>
          <w:rFonts w:ascii="Courier Tojik" w:eastAsia="Times New Roman" w:hAnsi="Courier Tojik" w:cs="Tahoma"/>
          <w:sz w:val="24"/>
          <w:szCs w:val="24"/>
        </w:rPr>
        <w:t>III. Основные задачи деятельности приграничных терминалов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7. Основными задачами приграничных терминалов являются: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приём иностранных и отечественных транспортных средств и приграничных терминалах;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 регистрация въезда и выезда транспортных средств;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временной стоянки для транспортных средств;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</w:t>
      </w:r>
      <w:r>
        <w:rPr>
          <w:rFonts w:ascii="Courier Tojik" w:hAnsi="Courier Tojik" w:cs="Tahoma"/>
          <w:color w:val="000000"/>
          <w:sz w:val="22"/>
          <w:szCs w:val="22"/>
        </w:rPr>
        <w:t>низация проведения всех видов таможенных процедур декларирования товаров;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проведение медицинского осмотра водителей и обеспечение медицинского обслуживания;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технического и санитарного осмотра транспортных средств;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погрузочно-разгрузочныхх работ;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таможенных складов и временных складов, холодильных установок, погрузочно-разгрузочных механизмов и прокладка железнодорожных путей;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проведение необходимых формальностей импорта и экспорта грузо</w:t>
      </w:r>
      <w:r>
        <w:rPr>
          <w:rFonts w:ascii="Courier Tojik" w:hAnsi="Courier Tojik" w:cs="Tahoma"/>
          <w:color w:val="000000"/>
          <w:sz w:val="22"/>
          <w:szCs w:val="22"/>
        </w:rPr>
        <w:t>в в из территории Республики Таджикистан;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доставки грузов от приграничных терминалов до места назначения внутренним транспортом республики;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безопасности и круглосуточной охраны транспортных средств, грузов, оборудований и другог</w:t>
      </w:r>
      <w:r>
        <w:rPr>
          <w:rFonts w:ascii="Courier Tojik" w:hAnsi="Courier Tojik" w:cs="Tahoma"/>
          <w:color w:val="000000"/>
          <w:sz w:val="22"/>
          <w:szCs w:val="22"/>
        </w:rPr>
        <w:t>о имущества;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предоставление различных видов бытовых и культурных услуг (гостиница, ресторан, медпункт, сауна, спортзал, библиотека, мечеть, аптека, пункт обмена валюты, пункт внутренней и международной связи. Интернет-кафе и др.);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транспорт</w:t>
      </w:r>
      <w:r>
        <w:rPr>
          <w:rFonts w:ascii="Courier Tojik" w:hAnsi="Courier Tojik" w:cs="Tahoma"/>
          <w:color w:val="000000"/>
          <w:sz w:val="22"/>
          <w:szCs w:val="22"/>
        </w:rPr>
        <w:t>но-экспедиционных услуг;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обратного груза;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ведение статистического учёта о показателях международных автомобильных перевозок;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организация лабараторных исследований с целью определения качества ввозимых и вывозимых грузов со стороны соответ</w:t>
      </w:r>
      <w:r>
        <w:rPr>
          <w:rFonts w:ascii="Courier Tojik" w:hAnsi="Courier Tojik" w:cs="Tahoma"/>
          <w:color w:val="000000"/>
          <w:sz w:val="22"/>
          <w:szCs w:val="22"/>
        </w:rPr>
        <w:t>ствующих органов согласно внутренним положениям терминалов.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8. Предусмотренные задачи пункта 7 будут выполняться соответствующими органами самостоятельно в пределах установленных режимов приграничных терминалов.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Для выполнения отдельных видов услуг и задач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руководства приграничных терминалов могут привлекать соответствующих специалистов или организации на договорных условиях.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9. Все виды грузов, ввозимых транспортными средствами на территорию Республики Таджикистан, принимаются и регулируются в приграничных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терминалах.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10. Дальнейшие доставки грузов от приграничных терминалов до места назначения осуществляются отечественными транспортными средствами или железнодорожным транспортом.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11. В зависимости от расстояния между приграничных терминалов, транспортные с</w:t>
      </w:r>
      <w:r>
        <w:rPr>
          <w:rFonts w:ascii="Courier Tojik" w:hAnsi="Courier Tojik" w:cs="Tahoma"/>
          <w:color w:val="000000"/>
          <w:sz w:val="22"/>
          <w:szCs w:val="22"/>
        </w:rPr>
        <w:t>редства, с грузом предназначенные для городов и областей республики (в соответствие с маршрутом назначения) въезжают в промежуточные терминалы, находящиеся в этих регионах (в соответствии с пунктом 25).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12. Направления движения транспортных средств, в том </w:t>
      </w:r>
      <w:r>
        <w:rPr>
          <w:rFonts w:ascii="Courier Tojik" w:hAnsi="Courier Tojik" w:cs="Tahoma"/>
          <w:color w:val="000000"/>
          <w:sz w:val="22"/>
          <w:szCs w:val="22"/>
        </w:rPr>
        <w:t>числе транзитного проезда по территории Республики Таджикистан на приграничных переходах определяются представителями Министерства транспорта и коммуникаций Республики Таджикистан согласно Технологическим картам, и дальнейшее их движение осуществляется в с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оответствии с маршрутными листами </w:t>
      </w:r>
      <w:r>
        <w:rPr>
          <w:rStyle w:val="inline-comment"/>
          <w:rFonts w:ascii="Courier Tojik" w:hAnsi="Courier Tojik" w:cs="Tahoma"/>
          <w:sz w:val="22"/>
          <w:szCs w:val="22"/>
        </w:rPr>
        <w:t>( в редакции Постановления Правительства РТ от 2.10.2010г.</w:t>
      </w:r>
      <w:hyperlink r:id="rId9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5" w:name="A0N90CF3LE"/>
      <w:bookmarkEnd w:id="5"/>
      <w:r>
        <w:rPr>
          <w:rFonts w:ascii="Courier Tojik" w:eastAsia="Times New Roman" w:hAnsi="Courier Tojik" w:cs="Tahoma"/>
          <w:sz w:val="24"/>
          <w:szCs w:val="24"/>
        </w:rPr>
        <w:t xml:space="preserve">IV. исключена 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lastRenderedPageBreak/>
        <w:t>                (в р</w:t>
      </w:r>
      <w:r>
        <w:rPr>
          <w:rStyle w:val="inline-comment"/>
          <w:rFonts w:ascii="Courier Tojik" w:hAnsi="Courier Tojik" w:cs="Tahoma"/>
          <w:sz w:val="22"/>
          <w:szCs w:val="22"/>
        </w:rPr>
        <w:t>едакции Постановления Правительства РТ от 2.10.2010г.</w:t>
      </w:r>
      <w:hyperlink r:id="rId10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6" w:name="A0N90CGEJI"/>
      <w:bookmarkEnd w:id="6"/>
      <w:r>
        <w:rPr>
          <w:rFonts w:ascii="Courier Tojik" w:eastAsia="Times New Roman" w:hAnsi="Courier Tojik" w:cs="Tahoma"/>
          <w:sz w:val="24"/>
          <w:szCs w:val="24"/>
        </w:rPr>
        <w:t>V. Порядок регистрации иностранных перевозчиков и их транспортных средств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</w:t>
      </w:r>
      <w:r>
        <w:rPr>
          <w:rFonts w:ascii="Courier Tojik" w:hAnsi="Courier Tojik" w:cs="Tahoma"/>
          <w:color w:val="000000"/>
          <w:sz w:val="22"/>
          <w:szCs w:val="22"/>
        </w:rPr>
        <w:t>5. Водителям транспортных средств после их пребывания на территорию приграничных терминалов выдается временная прописка и предоставляется место в гостинице в соответствии с установленным порядком.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Транспортные средства также регистрируются со стороны диспе</w:t>
      </w:r>
      <w:r>
        <w:rPr>
          <w:rFonts w:ascii="Courier Tojik" w:hAnsi="Courier Tojik" w:cs="Tahoma"/>
          <w:color w:val="000000"/>
          <w:sz w:val="22"/>
          <w:szCs w:val="22"/>
        </w:rPr>
        <w:t>тчерской службы в специальных журналах. Срок и место пребывания иностранных перевозчиков регистрируются в специальных бланках, утвержденных руководством терминала.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16. Транзитные транспортные средства, с целью ремонта, принятия грузов по возврату (в случае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если транспортное средство свободна от груза), а также отдыха водителей и в других необходимых ситуаций, имеют право въезжать на территории приграничных и промежуточных терминалов и пользоваться всеми видами предусмотренных услуг.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17. В случаях совершения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нарушений со стороны международных автоперевозчиков, руководство терминалов обязано довести до сведения соответствующих органов в соответствии с существующим порядком.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18. Вопросы, касающиеся въезда, выезда транспортных средств, сроков пребывания, транзит</w:t>
      </w:r>
      <w:r>
        <w:rPr>
          <w:rFonts w:ascii="Courier Tojik" w:hAnsi="Courier Tojik" w:cs="Tahoma"/>
          <w:color w:val="000000"/>
          <w:sz w:val="22"/>
          <w:szCs w:val="22"/>
        </w:rPr>
        <w:t>ного проезда, использования разрешительныхбланков и других видов разрешений решаются на основе действующих межгосударственных соглашений и нормативных правовых актов Республики Таджикистан.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7" w:name="A0N90CGMBG"/>
      <w:bookmarkEnd w:id="7"/>
      <w:r>
        <w:rPr>
          <w:rFonts w:ascii="Courier Tojik" w:eastAsia="Times New Roman" w:hAnsi="Courier Tojik" w:cs="Tahoma"/>
          <w:sz w:val="24"/>
          <w:szCs w:val="24"/>
        </w:rPr>
        <w:t>VI. Порядок размещения и деятельности действующих органон и пригра</w:t>
      </w:r>
      <w:r>
        <w:rPr>
          <w:rFonts w:ascii="Courier Tojik" w:eastAsia="Times New Roman" w:hAnsi="Courier Tojik" w:cs="Tahoma"/>
          <w:sz w:val="24"/>
          <w:szCs w:val="24"/>
        </w:rPr>
        <w:t>ничных терминалах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19. На территории приграничных терминалов могут организовать свою деятельность представителями государственного уполномоченного органа по надзору и регулированию в области транспорта, представители Таможенной службы при Правительстве Респ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ублики Таджикистан, Службы контроля фитосанитарии и карантин растений и семеноводства Министерства сельского хозяйства и охраны природы Республики Таджикистан, Агентства по стандартизации, метрологии, сертификации и инспекции по торговле при Правительстве 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Республики Таджикистан на основании действующих нормативных правовых актов Республики Таджикистан и соблюдают выполнение единой системы режима работы приграничных терминалов, исходящих из положения терминалов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</w:t>
      </w:r>
      <w:r>
        <w:rPr>
          <w:rStyle w:val="inline-comment"/>
          <w:rFonts w:ascii="Courier Tojik" w:hAnsi="Courier Tojik" w:cs="Tahoma"/>
          <w:sz w:val="22"/>
          <w:szCs w:val="22"/>
        </w:rPr>
        <w:t>.10.2010г.</w:t>
      </w:r>
      <w:hyperlink r:id="rId11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 территории приграничных терминалов предусматриваются необходимые условия для функционирования деятельности указанн</w:t>
      </w:r>
      <w:r>
        <w:rPr>
          <w:rFonts w:ascii="Courier Tojik" w:hAnsi="Courier Tojik" w:cs="Tahoma"/>
          <w:color w:val="000000"/>
          <w:sz w:val="22"/>
          <w:szCs w:val="22"/>
        </w:rPr>
        <w:t>ых ведомств.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Порядок и размещение соответствующих органов в приграничных терминалах в зависимости от их профессиональной деятельности и требований отраслевой особенности осуществляется на основе двустороннего договора с руководством терминалов в соответств</w:t>
      </w:r>
      <w:r>
        <w:rPr>
          <w:rFonts w:ascii="Courier Tojik" w:hAnsi="Courier Tojik" w:cs="Tahoma"/>
          <w:color w:val="000000"/>
          <w:sz w:val="22"/>
          <w:szCs w:val="22"/>
        </w:rPr>
        <w:t>ии с действующими законодательными актами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20. При проектировании и планировании приграничных терминалов в части размещения здания и сооружения, вспомогательных объектов, а также объектов обслуживания, собственника согласовывает с соответствующими органами,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указанными в пункте 19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2.10.2010г.</w:t>
      </w:r>
      <w:hyperlink r:id="rId12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21. Количество работников и режим работы органов действующих на приграничных терминалах утверждаются со стороны руководства этих органов в отдельности на основании существующих порядков.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22. Руководство приграничных терминалов и органы действующих на пригр</w:t>
      </w:r>
      <w:r>
        <w:rPr>
          <w:rFonts w:ascii="Courier Tojik" w:hAnsi="Courier Tojik" w:cs="Tahoma"/>
          <w:color w:val="000000"/>
          <w:sz w:val="22"/>
          <w:szCs w:val="22"/>
        </w:rPr>
        <w:t>аничных терминалов не вмешиваются в деятельности друг-друга.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 xml:space="preserve">Органы, действующие на приграничных терминалах и руководство приграничных терминалов принимают совместное участие в хозяйствовании, благоустройстве и предоставлении социально -культурных услуг в </w:t>
      </w:r>
      <w:r>
        <w:rPr>
          <w:rFonts w:ascii="Courier Tojik" w:hAnsi="Courier Tojik" w:cs="Tahoma"/>
          <w:color w:val="000000"/>
          <w:sz w:val="22"/>
          <w:szCs w:val="22"/>
        </w:rPr>
        <w:t>приграничных терминалах.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8" w:name="A0N90CIK67"/>
      <w:bookmarkEnd w:id="8"/>
      <w:r>
        <w:rPr>
          <w:rFonts w:ascii="Courier Tojik" w:eastAsia="Times New Roman" w:hAnsi="Courier Tojik" w:cs="Tahoma"/>
          <w:sz w:val="24"/>
          <w:szCs w:val="24"/>
        </w:rPr>
        <w:t>VII. Порядок использования таможенных складов, временных складов и других сооружений приграничных терминалов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23. С целью своевременного обеспечения благоприятных условий по оказанию услуг международным автоперевозчикам и клиентам, </w:t>
      </w:r>
      <w:r>
        <w:rPr>
          <w:rFonts w:ascii="Courier Tojik" w:hAnsi="Courier Tojik" w:cs="Tahoma"/>
          <w:color w:val="000000"/>
          <w:sz w:val="22"/>
          <w:szCs w:val="22"/>
        </w:rPr>
        <w:t>согласно с существующим современным требованиям на приграничных терминалах создаются таможенные склады, временные склады и другие сооружения в соответствии с Таможенным Кодексом Республики Таджикистан и другими нормативными правовыми актами Республики Тадж</w:t>
      </w:r>
      <w:r>
        <w:rPr>
          <w:rFonts w:ascii="Courier Tojik" w:hAnsi="Courier Tojik" w:cs="Tahoma"/>
          <w:color w:val="000000"/>
          <w:sz w:val="22"/>
          <w:szCs w:val="22"/>
        </w:rPr>
        <w:t>икистан.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9" w:name="A0N90CJ22B"/>
      <w:bookmarkEnd w:id="9"/>
      <w:r>
        <w:rPr>
          <w:rFonts w:ascii="Courier Tojik" w:eastAsia="Times New Roman" w:hAnsi="Courier Tojik" w:cs="Tahoma"/>
          <w:sz w:val="24"/>
          <w:szCs w:val="24"/>
        </w:rPr>
        <w:t>VIII. Порядок осуществления тарифных услуг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24. Тарифы на оказание услуг для пользователей в приграничных терминалах утверждаются уполномоченными органами но антимонопольной политике в соответствии с установленным законодательством Республики Таджи</w:t>
      </w:r>
      <w:r>
        <w:rPr>
          <w:rFonts w:ascii="Courier Tojik" w:hAnsi="Courier Tojik" w:cs="Tahoma"/>
          <w:color w:val="000000"/>
          <w:sz w:val="22"/>
          <w:szCs w:val="22"/>
        </w:rPr>
        <w:t>кистан</w:t>
      </w:r>
    </w:p>
    <w:p w:rsidR="00000000" w:rsidRDefault="00BA3076">
      <w:pPr>
        <w:pStyle w:val="4"/>
        <w:divId w:val="1325208678"/>
        <w:rPr>
          <w:rFonts w:ascii="Courier Tojik" w:eastAsia="Times New Roman" w:hAnsi="Courier Tojik" w:cs="Tahoma"/>
          <w:sz w:val="24"/>
          <w:szCs w:val="24"/>
        </w:rPr>
      </w:pPr>
      <w:bookmarkStart w:id="10" w:name="A0N90CJ74L"/>
      <w:bookmarkEnd w:id="10"/>
      <w:r>
        <w:rPr>
          <w:rFonts w:ascii="Courier Tojik" w:eastAsia="Times New Roman" w:hAnsi="Courier Tojik" w:cs="Tahoma"/>
          <w:sz w:val="24"/>
          <w:szCs w:val="24"/>
        </w:rPr>
        <w:t>IX. Сотрудничество между приграничными и промежуточными терминалами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25. Промежуточные терминалы создаются на перекрестке автомагистралей соединяющих города и районы и на автомагистрали, проходящие через большие промышленные города или областные цент</w:t>
      </w:r>
      <w:r>
        <w:rPr>
          <w:rFonts w:ascii="Courier Tojik" w:hAnsi="Courier Tojik" w:cs="Tahoma"/>
          <w:color w:val="000000"/>
          <w:sz w:val="22"/>
          <w:szCs w:val="22"/>
        </w:rPr>
        <w:t>ры.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Между руководством приграничных и промежуточных терминалов заключаются соглашения о сотрудничестве для предотвращения непредвиденных обстоятельств и решении возникших проблем законным путем.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26. Грузы, от промежуточных терминалов после проведения тамож</w:t>
      </w:r>
      <w:r>
        <w:rPr>
          <w:rFonts w:ascii="Courier Tojik" w:hAnsi="Courier Tojik" w:cs="Tahoma"/>
          <w:color w:val="000000"/>
          <w:sz w:val="22"/>
          <w:szCs w:val="22"/>
        </w:rPr>
        <w:t>енных процедур и других обязательных мероприятий доставляются до места назначения отечественным транспортом.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27. В случае возникновения непредвиденных обстоятельств (дорожно-транспортное происшествие, болезнь водителя, неисправность транспортного средства,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природные катаклизмы и т.д.), что является причиной задержки пребывания транспортных средств на территории Республики Таджикистан, вследствие их обращения к промежуточным терминалам, рассматривается комиссией по непредвиденным обстоятельствам международны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х автомобильных перевозчиков на территории Республики Таджикистан в соответствии с постановлением Правительства Республики Таджикистан от 4 августа 2003 года №342 "Об утверждении порядка регламентирующего международные автомобильные перевозки в Республике </w:t>
      </w:r>
      <w:r>
        <w:rPr>
          <w:rFonts w:ascii="Courier Tojik" w:hAnsi="Courier Tojik" w:cs="Tahoma"/>
          <w:color w:val="000000"/>
          <w:sz w:val="22"/>
          <w:szCs w:val="22"/>
        </w:rPr>
        <w:t>Таджикистан".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28. Международные автотранспортные средства на пути следования могут пользоваться услугами временных стоянок, кемпингов и других транспортных объектов, соответствующих современным требованиям. Порядок въезда и пребывания транспортных средств </w:t>
      </w:r>
      <w:r>
        <w:rPr>
          <w:rFonts w:ascii="Courier Tojik" w:hAnsi="Courier Tojik" w:cs="Tahoma"/>
          <w:color w:val="000000"/>
          <w:sz w:val="22"/>
          <w:szCs w:val="22"/>
        </w:rPr>
        <w:t>к стоянкам и кемпингам определяется Технологическими картами.</w:t>
      </w:r>
    </w:p>
    <w:p w:rsidR="00000000" w:rsidRDefault="00BA3076">
      <w:pPr>
        <w:pStyle w:val="a3"/>
        <w:divId w:val="159219930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Приложение 2 </w:t>
      </w:r>
    </w:p>
    <w:p w:rsidR="00000000" w:rsidRDefault="00BA3076">
      <w:pPr>
        <w:pStyle w:val="a3"/>
        <w:divId w:val="159219930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к </w:t>
      </w:r>
      <w:hyperlink r:id="rId13" w:tooltip="Ссылка на: ПОСТ. ПРАВИТЕЛЬСТВА РТ  ОБ УТВЕРЖДЕНИИ ПОЛОЖЕНИЯ ПРИГРАНИЧНЫХ МЕЖДУНАРОДНЫХ АВТОМОБИЛЬНЫХ ТЕРМИНАЛОВ И ТЕХНОЛОГИЧЕСКИХ КАР" w:history="1">
        <w:r>
          <w:rPr>
            <w:rStyle w:val="a4"/>
            <w:rFonts w:ascii="Courier Tojik" w:hAnsi="Courier Tojik" w:cs="Tahoma"/>
            <w:sz w:val="22"/>
            <w:szCs w:val="22"/>
          </w:rPr>
          <w:t>постан</w:t>
        </w:r>
        <w:r>
          <w:rPr>
            <w:rStyle w:val="a4"/>
            <w:rFonts w:ascii="Courier Tojik" w:hAnsi="Courier Tojik" w:cs="Tahoma"/>
            <w:sz w:val="22"/>
            <w:szCs w:val="22"/>
          </w:rPr>
          <w:t xml:space="preserve">овлению Правительства </w:t>
        </w:r>
      </w:hyperlink>
    </w:p>
    <w:p w:rsidR="00000000" w:rsidRDefault="00BA3076">
      <w:pPr>
        <w:pStyle w:val="a3"/>
        <w:divId w:val="159219930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</w:t>
      </w:r>
    </w:p>
    <w:p w:rsidR="00000000" w:rsidRDefault="00BA3076">
      <w:pPr>
        <w:pStyle w:val="a3"/>
        <w:divId w:val="159219930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от 2 ноября 2007г.№540</w:t>
      </w:r>
    </w:p>
    <w:p w:rsidR="00000000" w:rsidRDefault="00BA3076">
      <w:pPr>
        <w:pStyle w:val="2"/>
        <w:divId w:val="1325208678"/>
        <w:rPr>
          <w:rFonts w:ascii="Courier Tojik" w:eastAsia="Times New Roman" w:hAnsi="Courier Tojik" w:cs="Tahoma"/>
          <w:sz w:val="29"/>
          <w:szCs w:val="29"/>
        </w:rPr>
      </w:pPr>
      <w:bookmarkStart w:id="11" w:name="A3PF0RN3V6"/>
      <w:bookmarkEnd w:id="11"/>
      <w:r>
        <w:rPr>
          <w:rFonts w:ascii="Courier Tojik" w:eastAsia="Times New Roman" w:hAnsi="Courier Tojik" w:cs="Tahoma"/>
          <w:sz w:val="29"/>
          <w:szCs w:val="29"/>
        </w:rPr>
        <w:t>Технологические карты по определению маршрутов транзитного проезда международных автотранспортных средств по территории Республики Таджикистан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Общие положения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Технологические карты ра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зработаны в соответствии с постановлением Правительства Республики Таджикистан от 2 мая 2007 года </w:t>
      </w:r>
      <w:hyperlink r:id="rId14" w:tooltip="Ссылка на Пост. Правительства РТ О транзитном проезде международных автотранспортных средств по территории...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№212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"О тр</w:t>
      </w:r>
      <w:r>
        <w:rPr>
          <w:rFonts w:ascii="Courier Tojik" w:hAnsi="Courier Tojik" w:cs="Tahoma"/>
          <w:color w:val="000000"/>
          <w:sz w:val="22"/>
          <w:szCs w:val="22"/>
        </w:rPr>
        <w:t>анзитном проезде международных автотранспортных средств по территории Республики Таджикистан и создании приграничных международных автомобильных терминалов".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Технологические карты рассматривают вопросы порядка регулирования общего процесса въезда, выезда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транзита международных автотранспортных средств (далее "транспортные средства").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Транзитным проездом считается проезд транспортных средств через территории второго государства в третьи страны.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соответствии с постановлением Правительства Республики Таджи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кистан от 2 мая 2007 года </w:t>
      </w:r>
      <w:hyperlink r:id="rId15" w:tooltip="Ссылка на Пост. Правительства РТ О транзитном проезде международных автотранспортных средств по территории...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№212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"О транзитном проезде международных автотранспортных средств по территории Республики Таджикистан и создании приграничных международных автомобильных терминалов", определены основные маршруты транзитного проезда иностранного транспортного средства по терри</w:t>
      </w:r>
      <w:r>
        <w:rPr>
          <w:rFonts w:ascii="Courier Tojik" w:hAnsi="Courier Tojik" w:cs="Tahoma"/>
          <w:color w:val="000000"/>
          <w:sz w:val="22"/>
          <w:szCs w:val="22"/>
        </w:rPr>
        <w:t>тории Республики Таджикистан, которые регулируются настоящими Технологическими картами.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Технологические карты служат механизмом регулирования проводимых процессов, как на пограничных переходах, так и на пути их следования при транзитном проезде по автомоби</w:t>
      </w:r>
      <w:r>
        <w:rPr>
          <w:rFonts w:ascii="Courier Tojik" w:hAnsi="Courier Tojik" w:cs="Tahoma"/>
          <w:color w:val="000000"/>
          <w:sz w:val="22"/>
          <w:szCs w:val="22"/>
        </w:rPr>
        <w:t>льным дорогам по территории Республики Таджикистан.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Направление транзитного проезда и движение транспортного средства определяется в пограничных переходах.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На пограничных переходах проводятся пограничные осмотры, таможенные процедуры, эпидемиологические и </w:t>
      </w:r>
      <w:r>
        <w:rPr>
          <w:rFonts w:ascii="Courier Tojik" w:hAnsi="Courier Tojik" w:cs="Tahoma"/>
          <w:color w:val="000000"/>
          <w:sz w:val="22"/>
          <w:szCs w:val="22"/>
        </w:rPr>
        <w:t>фитосанитарные контроли, а также регулирование транспортных процессов на основе нормативных правовых актов.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Каждый из вышеназванных процессов проводится соответствующими службами самостоятельно, в взаимодействии со всеми службами, начиная от пограничных пе</w:t>
      </w:r>
      <w:r>
        <w:rPr>
          <w:rFonts w:ascii="Courier Tojik" w:hAnsi="Courier Tojik" w:cs="Tahoma"/>
          <w:color w:val="000000"/>
          <w:sz w:val="22"/>
          <w:szCs w:val="22"/>
        </w:rPr>
        <w:t>реходов до последнего пункта транзитного проезда и соответствии с внутренними законодательствами и принятыми международными нормативными правовыми актами.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Порядок транзитного проезда транспортных средств по территории Республики Таджикистан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Транзитный п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роезд по территории Республики Таджикистан от пунктов въезда до пунктов выезда, осуществляются строго на основании маршрутной карты. Место доставки предназначенных грузов определяется со стороны таможенной службы, маршрутные листы выдаются представителями 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государственного уполномоченного органа по надзору и регулированию в области транспорта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2.10.2010г.</w:t>
      </w:r>
      <w:hyperlink r:id="rId16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Маршрутные карты с указаниями каждого направления движения транспортных средств по территории Республики Таджикистан прилагаются к настоящим Технологическим картам.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Водители автотранспортных средств во время транзитного проезда обязаны соблюдать требования Международных конвенций "О дорожном движении" (г.Вена, от 8 ноября 1968 г., с поправками от 1 мая 1971г.), "О дорожных знаках" (г. Вена, от 8 ноября 1968г.), а такж</w:t>
      </w:r>
      <w:r>
        <w:rPr>
          <w:rFonts w:ascii="Courier Tojik" w:hAnsi="Courier Tojik" w:cs="Tahoma"/>
          <w:color w:val="000000"/>
          <w:sz w:val="22"/>
          <w:szCs w:val="22"/>
        </w:rPr>
        <w:t>е Правила дорожного движения, действующие на территории Республики Таджикистан.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предусмотренных случаях транзитный проезд международных автотранспортных средств будут осуществлены под сопровождением таможенных работников или других служб. Запрещается сам</w:t>
      </w:r>
      <w:r>
        <w:rPr>
          <w:rFonts w:ascii="Courier Tojik" w:hAnsi="Courier Tojik" w:cs="Tahoma"/>
          <w:color w:val="000000"/>
          <w:sz w:val="22"/>
          <w:szCs w:val="22"/>
        </w:rPr>
        <w:t>овольное нарушение маршрута или часть маршрута во время транзитного проезда со стороны водителей (операторов).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Международные транспортные средства по пути следования могут пользоваться временными стоянками, кемпингами или другими транспортными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объектами, 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в случаях возникновения непредвиденных обстоятельств должны обращаться к соответствующим органам.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случаях выявления нарушений правил транзитного проезда международными автоперевозчиками, со стороны работников Управления государственной автомобильной инс</w:t>
      </w:r>
      <w:r>
        <w:rPr>
          <w:rFonts w:ascii="Courier Tojik" w:hAnsi="Courier Tojik" w:cs="Tahoma"/>
          <w:color w:val="000000"/>
          <w:sz w:val="22"/>
          <w:szCs w:val="22"/>
        </w:rPr>
        <w:t>пекции Министерства внутренних дел Республики Таджикистан или Государственной службы по надзору и регулированию в области транспорта Министерства транспорта и коммуникации Республики Таджикистан, транспортные средства доставляются до ближайших промежуточны</w:t>
      </w:r>
      <w:r>
        <w:rPr>
          <w:rFonts w:ascii="Courier Tojik" w:hAnsi="Courier Tojik" w:cs="Tahoma"/>
          <w:color w:val="000000"/>
          <w:sz w:val="22"/>
          <w:szCs w:val="22"/>
        </w:rPr>
        <w:t>х терминалов, либо установленных штрафплощадок для дальнейшего выяснения обстоятельств данных правонарушений и в их отношении принимаются административные меры.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Порядок транзитного проезда транспортных средств при перевозке крупногабаритных, тяжеловесны</w:t>
      </w:r>
      <w:r>
        <w:rPr>
          <w:rFonts w:ascii="Courier Tojik" w:hAnsi="Courier Tojik" w:cs="Tahoma"/>
          <w:color w:val="000000"/>
          <w:sz w:val="22"/>
          <w:szCs w:val="22"/>
        </w:rPr>
        <w:t>х, опасных и скоропортящихся грузов по территории Республики Таджикистан.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Транзитный проезд транспортных средств по территории Республики Таджикистан для перевозки крупногабаритных, тяжеловесных, опасных и скоропортящихся грузов осуществляется в соответств</w:t>
      </w:r>
      <w:r>
        <w:rPr>
          <w:rFonts w:ascii="Courier Tojik" w:hAnsi="Courier Tojik" w:cs="Tahoma"/>
          <w:color w:val="000000"/>
          <w:sz w:val="22"/>
          <w:szCs w:val="22"/>
        </w:rPr>
        <w:t>ии с международными обязательствами вытекающих из международных правовых актов, признанных Республикой Таджикистан и нормативных правовых актов республики.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 целью своевременной доставки скоропортящихся грузов со стороны соответствующих органов принимаются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конкретные меры.</w:t>
      </w:r>
    </w:p>
    <w:p w:rsidR="00000000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Международные автоперевозчики, пользователи книжек TTR-Сarnet, при въезде и транзитном проезде по территории Республики Таджикистан освобождаются от платежей, предусмотренные за таможенное сопровождение.</w:t>
      </w:r>
    </w:p>
    <w:p w:rsidR="00BA3076" w:rsidRDefault="00BA3076">
      <w:pPr>
        <w:pStyle w:val="a3"/>
        <w:divId w:val="13252086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Все виды оформления документов, в 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том числе оформление разрешительных бланков при въезде, выезде и транзите,со стороны представителей государственного уполномоченного органа по надзору и регулированию в области транспорта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2.10.2010г.</w:t>
      </w:r>
      <w:hyperlink r:id="rId17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sectPr w:rsidR="00BA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216D"/>
    <w:rsid w:val="00BA3076"/>
    <w:rsid w:val="00D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D9C1-C5D9-4570-A4F8-8B5A3E01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8678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5877" TargetMode="External"/><Relationship Id="rId13" Type="http://schemas.openxmlformats.org/officeDocument/2006/relationships/hyperlink" Target="vfp:///rgn=117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fp:///rgn=15877" TargetMode="External"/><Relationship Id="rId12" Type="http://schemas.openxmlformats.org/officeDocument/2006/relationships/hyperlink" Target="vfp:///rgn=15877" TargetMode="External"/><Relationship Id="rId17" Type="http://schemas.openxmlformats.org/officeDocument/2006/relationships/hyperlink" Target="vfp:///rgn=15877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/rgn=15877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1265" TargetMode="External"/><Relationship Id="rId11" Type="http://schemas.openxmlformats.org/officeDocument/2006/relationships/hyperlink" Target="vfp:///rgn=15877" TargetMode="External"/><Relationship Id="rId5" Type="http://schemas.openxmlformats.org/officeDocument/2006/relationships/hyperlink" Target="vfp:///rgn=15877" TargetMode="External"/><Relationship Id="rId15" Type="http://schemas.openxmlformats.org/officeDocument/2006/relationships/hyperlink" Target="vfp:///rgn=11265" TargetMode="External"/><Relationship Id="rId10" Type="http://schemas.openxmlformats.org/officeDocument/2006/relationships/hyperlink" Target="vfp:///rgn=15877" TargetMode="External"/><Relationship Id="rId19" Type="http://schemas.openxmlformats.org/officeDocument/2006/relationships/theme" Target="theme/theme1.xml"/><Relationship Id="rId4" Type="http://schemas.openxmlformats.org/officeDocument/2006/relationships/hyperlink" Target="vfp:///rgn=11755" TargetMode="External"/><Relationship Id="rId9" Type="http://schemas.openxmlformats.org/officeDocument/2006/relationships/hyperlink" Target="vfp:///rgn=15877" TargetMode="External"/><Relationship Id="rId14" Type="http://schemas.openxmlformats.org/officeDocument/2006/relationships/hyperlink" Target="vfp:///rgn=1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2020-03-11T09:03:00Z</dcterms:created>
  <dcterms:modified xsi:type="dcterms:W3CDTF">2020-03-11T09:03:00Z</dcterms:modified>
</cp:coreProperties>
</file>